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«14»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ректора Гайдук Татьяны Алексеевны, действующего на основании  Устава,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2021-2022 учебном году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«14» февраля 2022 г. по «16» февраля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Форма обучения: очно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</w:rPr>
        <w:t>Краснодарский край, г.-к. Горячий Ключ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31.12.2022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Ректор ____________ Т.А.Гайдук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«14»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5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«16» февраля 2022_г.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_____________________________________________</w:t>
      </w:r>
    </w:p>
    <w:p>
      <w:pPr>
        <w:pStyle w:val="Normal"/>
        <w:jc w:val="both"/>
        <w:rPr/>
      </w:pPr>
      <w:r>
        <w:rPr>
          <w:bCs/>
          <w:lang w:eastAsia="ar-SA"/>
        </w:rPr>
        <w:t xml:space="preserve">___________________________________________________________________________________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 Устава, с другой стороны, составили настоящий акт о нижеследующем: 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«14» февраля 2022 г. по «16» февраля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Краснодарский край, г.-к.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Ректор ____________ Т.А.Гайдук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276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sz w:val="24"/>
        <w:spacing w:val="-5"/>
        <w:szCs w:val="24"/>
        <w:bCs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Cs/>
      <w:spacing w:val="-5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2022-01-21T09:39:00Z</dcterms:modified>
  <cp:revision>44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