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«08»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2021-2022 учебном году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«08» февраля 2022 г. по «10» февраля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Форма обучения: очно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</w:rPr>
        <w:t>Краснодарский край, г.-к. Горячий Ключ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31.12.2022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«08»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5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«10» февраля 2022_г.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_____________________________________________</w:t>
      </w:r>
    </w:p>
    <w:p>
      <w:pPr>
        <w:pStyle w:val="Normal"/>
        <w:jc w:val="both"/>
        <w:rPr/>
      </w:pPr>
      <w:r>
        <w:rPr>
          <w:bCs/>
          <w:lang w:eastAsia="ar-SA"/>
        </w:rPr>
        <w:t xml:space="preserve">___________________________________________________________________________________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>
        <w:rPr>
          <w:sz w:val="26"/>
          <w:szCs w:val="26"/>
        </w:rPr>
        <w:t>17 января 2022 года № 1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«08» февраля 2022 г. по «10» февраля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Краснодарский край, г.-к.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276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sz w:val="24"/>
        <w:spacing w:val="-5"/>
        <w:szCs w:val="24"/>
        <w:bCs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Cs/>
      <w:spacing w:val="-5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2022-01-19T09:26:00Z</dcterms:modified>
  <cp:revision>40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